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a"/>
          <w:sz w:val="20"/>
          <w:szCs w:val="20"/>
          <w:u w:val="single"/>
          <w:shd w:fill="auto" w:val="clear"/>
          <w:vertAlign w:val="baseline"/>
        </w:rPr>
      </w:pPr>
      <w:r w:rsidDel="00000000" w:rsidR="00000000" w:rsidRPr="00000000">
        <w:rPr>
          <w:rFonts w:ascii="Arial" w:cs="Arial" w:eastAsia="Arial" w:hAnsi="Arial"/>
          <w:b w:val="1"/>
          <w:i w:val="0"/>
          <w:smallCaps w:val="1"/>
          <w:strike w:val="0"/>
          <w:color w:val="00000a"/>
          <w:sz w:val="20"/>
          <w:szCs w:val="20"/>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a"/>
          <w:sz w:val="18"/>
          <w:szCs w:val="18"/>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a"/>
          <w:sz w:val="18"/>
          <w:szCs w:val="18"/>
        </w:rPr>
      </w:pPr>
      <w:r w:rsidDel="00000000" w:rsidR="00000000" w:rsidRPr="00000000">
        <w:rPr>
          <w:rtl w:val="0"/>
        </w:rPr>
      </w:r>
    </w:p>
    <w:p w:rsidR="00000000" w:rsidDel="00000000" w:rsidP="00000000" w:rsidRDefault="00000000" w:rsidRPr="00000000" w14:paraId="00000006">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007">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Fonts w:ascii="Arial" w:cs="Arial" w:eastAsia="Arial" w:hAnsi="Arial"/>
          <w:b w:val="1"/>
          <w:color w:val="00000a"/>
          <w:sz w:val="15"/>
          <w:szCs w:val="15"/>
          <w:rtl w:val="0"/>
        </w:rPr>
        <w:t xml:space="preserve">Convenzione sottoscritta in data 27.02.2019, tra Ministero delle Infrastrutture e dei Trasporti, Regione Autonoma della Sardegna e ARST, regolante il finanziamento per assicurare la realizzazione degli interventi per la messa in sicurezza delle linee ferroviarie non interconnesse alla rete nazionale, D.M. 6 agosto 2018, n. 361 art. 1, comma 140, della legge 11 dicembre 2016, n. 232.</w:t>
      </w:r>
    </w:p>
    <w:p w:rsidR="00000000" w:rsidDel="00000000" w:rsidP="00000000" w:rsidRDefault="00000000" w:rsidRPr="00000000" w14:paraId="00000008">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Fonts w:ascii="Arial" w:cs="Arial" w:eastAsia="Arial" w:hAnsi="Arial"/>
          <w:b w:val="1"/>
          <w:color w:val="00000a"/>
          <w:sz w:val="15"/>
          <w:szCs w:val="15"/>
          <w:rtl w:val="0"/>
        </w:rPr>
        <w:t xml:space="preserve">Procedura ristretta, ai sensi dell’art. 123, comma 3, lettera b) e dell’art. 134, comma 3, del D.Lgs. n° 50/2016 e s.m.i., per l’affidamento della realizzazione delle canalizzazioni a servizio degli impianti di segnalamento, sicurezza e telecomunicazioni della linea ferroviaria TPL Sassari-Alghero.</w:t>
      </w:r>
    </w:p>
    <w:p w:rsidR="00000000" w:rsidDel="00000000" w:rsidP="00000000" w:rsidRDefault="00000000" w:rsidRPr="00000000" w14:paraId="0000000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Fonts w:ascii="Arial" w:cs="Arial" w:eastAsia="Arial" w:hAnsi="Arial"/>
          <w:b w:val="1"/>
          <w:color w:val="00000a"/>
          <w:sz w:val="15"/>
          <w:szCs w:val="15"/>
          <w:rtl w:val="0"/>
        </w:rPr>
        <w:t xml:space="preserve">CUP F61I18000260001 - CIG 8324285949 - SardegnaCAT tender 213084</w:t>
      </w:r>
    </w:p>
    <w:p w:rsidR="00000000" w:rsidDel="00000000" w:rsidP="00000000" w:rsidRDefault="00000000" w:rsidRPr="00000000" w14:paraId="0000000A">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Fonts w:ascii="Arial" w:cs="Arial" w:eastAsia="Arial" w:hAnsi="Arial"/>
          <w:b w:val="1"/>
          <w:color w:val="00000a"/>
          <w:sz w:val="15"/>
          <w:szCs w:val="15"/>
          <w:rtl w:val="0"/>
        </w:rPr>
        <w:t xml:space="preserve">Gara n° 57/2020</w:t>
      </w:r>
    </w:p>
    <w:p w:rsidR="00000000" w:rsidDel="00000000" w:rsidP="00000000" w:rsidRDefault="00000000" w:rsidRPr="00000000" w14:paraId="0000000B">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a"/>
          <w:sz w:val="18"/>
          <w:szCs w:val="18"/>
        </w:rPr>
      </w:pPr>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p>
    <w:p w:rsidR="00000000" w:rsidDel="00000000" w:rsidP="00000000" w:rsidRDefault="00000000" w:rsidRPr="00000000" w14:paraId="0000000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791"/>
        <w:gridCol w:w="4497"/>
        <w:tblGridChange w:id="0">
          <w:tblGrid>
            <w:gridCol w:w="4791"/>
            <w:gridCol w:w="4497"/>
          </w:tblGrid>
        </w:tblGridChange>
      </w:tblGrid>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ARST S.p.A.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00145190922</w:t>
            </w:r>
            <w:r w:rsidDel="00000000" w:rsidR="00000000" w:rsidRPr="00000000">
              <w:rPr>
                <w:rtl w:val="0"/>
              </w:rPr>
            </w:r>
          </w:p>
        </w:tc>
      </w:tr>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8">
            <w:pPr>
              <w:spacing w:before="120" w:lineRule="auto"/>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Procedura ristretta, ai sensi dell’art. 123, comma 3, lettera b) e dell’art. 134, comma 3, del D.Lgs. n° 50/2016 e s.m.i., per l’affidamento della realizzazione delle canalizzazioni a servizio degli impianti di segnalamento, sicurezza e telecomunicazioni della linea ferroviaria TPL Sassari-Alghero.</w:t>
            </w:r>
          </w:p>
          <w:p w:rsidR="00000000" w:rsidDel="00000000" w:rsidP="00000000" w:rsidRDefault="00000000" w:rsidRPr="00000000" w14:paraId="00000019">
            <w:pPr>
              <w:spacing w:before="120" w:lineRule="auto"/>
              <w:jc w:val="both"/>
              <w:rPr>
                <w:rFonts w:ascii="Arial" w:cs="Arial" w:eastAsia="Arial" w:hAnsi="Arial"/>
                <w:color w:val="00000a"/>
                <w:sz w:val="15"/>
                <w:szCs w:val="15"/>
              </w:rPr>
            </w:pP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B">
            <w:pPr>
              <w:spacing w:before="60" w:lineRule="auto"/>
              <w:ind w:right="278"/>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color w:val="00000a"/>
                <w:sz w:val="15"/>
                <w:szCs w:val="15"/>
                <w:rtl w:val="0"/>
              </w:rPr>
              <w:t xml:space="preserve">Gara n° 57/2020 – SardegnaCAT tender 213084</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4"/>
                <w:szCs w:val="14"/>
              </w:rPr>
            </w:pPr>
            <w:r w:rsidDel="00000000" w:rsidR="00000000" w:rsidRPr="00000000">
              <w:rPr>
                <w:rFonts w:ascii="Arial" w:cs="Arial" w:eastAsia="Arial" w:hAnsi="Arial"/>
                <w:sz w:val="14"/>
                <w:szCs w:val="14"/>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CIG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sz w:val="14"/>
                <w:szCs w:val="14"/>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progetto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(ove l’appalto sia finanziato o cofinanziato con fondi europei)</w:t>
              <w:tab/>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F">
            <w:pPr>
              <w:spacing w:before="0" w:lineRule="auto"/>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CIG 8324285949 </w:t>
            </w:r>
          </w:p>
          <w:p w:rsidR="00000000" w:rsidDel="00000000" w:rsidP="00000000" w:rsidRDefault="00000000" w:rsidRPr="00000000" w14:paraId="00000020">
            <w:pPr>
              <w:spacing w:before="120" w:lineRule="auto"/>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CUP F61I18000260001</w:t>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2">
            <w:pPr>
              <w:spacing w:before="120" w:lineRule="auto"/>
              <w:jc w:val="both"/>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023">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293.0" w:type="dxa"/>
        <w:jc w:val="left"/>
        <w:tblInd w:w="-20.0" w:type="dxa"/>
        <w:tblLayout w:type="fixed"/>
        <w:tblLook w:val="0000"/>
      </w:tblPr>
      <w:tblGrid>
        <w:gridCol w:w="5699"/>
        <w:gridCol w:w="3594"/>
        <w:tblGridChange w:id="0">
          <w:tblGrid>
            <w:gridCol w:w="5699"/>
            <w:gridCol w:w="359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82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11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quale è la percentuale corrispondente di lavoratori con disabilità o svantaggiati?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c) […………..…]</w:t>
              <w:br w:type="textWrapping"/>
              <w:br w:type="textWrapping"/>
              <w:br w:type="textWrapping"/>
              <w:t xml:space="preserve">d) [ ] Sì [ ] No</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br w:type="textWrapping"/>
              <w:br w:type="textWrapping"/>
              <w:br w:type="textWrapping"/>
              <w:br w:type="textWrapping"/>
              <w:br w:type="textWrapping"/>
              <w:br w:type="textWrapping"/>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77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 ] Sì [ ] No</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 ] Sì [ ] No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p>
        </w:tc>
      </w:tr>
      <w:tr>
        <w:trPr>
          <w:trHeight w:val="594" w:hRule="atLeast"/>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A">
            <w:pPr>
              <w:keepNext w:val="0"/>
              <w:keepLines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 ecc.):</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AA">
      <w:pPr>
        <w:keepNext w:val="0"/>
        <w:keepLines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B9">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A">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6">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7">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CC">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858"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8">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A">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DB">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DC">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DD">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DE">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DF">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1">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2">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3">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14:paraId="000000E4">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dati identificativi delle persone condannate [ ];</w:t>
              <w:br w:type="textWrapping"/>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br w:type="textWrapping"/>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durata del periodo d'esclusione [..…], lettera comma 1, articolo 80 [  ], </w:t>
            </w:r>
          </w:p>
        </w:tc>
      </w:tr>
      <w:tr>
        <w:trPr>
          <w:trHeight w:val="69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tc>
      </w:tr>
    </w:tb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br w:type="page"/>
      </w:r>
      <w:r w:rsidDel="00000000" w:rsidR="00000000" w:rsidRPr="00000000">
        <w:rPr>
          <w:rtl w:val="0"/>
        </w:rPr>
      </w:r>
    </w:p>
    <w:tbl>
      <w:tblPr>
        <w:tblStyle w:val="Table7"/>
        <w:tblW w:w="9288.0" w:type="dxa"/>
        <w:jc w:val="left"/>
        <w:tblInd w:w="-20.0" w:type="dxa"/>
        <w:tblLayout w:type="fixed"/>
        <w:tblLook w:val="0000"/>
      </w:tblPr>
      <w:tblGrid>
        <w:gridCol w:w="4530"/>
        <w:gridCol w:w="4758"/>
        <w:tblGridChange w:id="0">
          <w:tblGrid>
            <w:gridCol w:w="4530"/>
            <w:gridCol w:w="4758"/>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8"/>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032"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trHeight w:val="47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14:paraId="000001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14:paraId="000001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14:paraId="000001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trHeight w:val="1977"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(indirizzo web, autorità o organismo di emanazione, riferimento preciso della documentazione)(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1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1">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15"/>
          <w:szCs w:val="15"/>
          <w:u w:val="none"/>
          <w:shd w:fill="auto" w:val="clear"/>
          <w:vertAlign w:val="superscript"/>
        </w:rPr>
        <w:footnoteReference w:customMarkFollows="0" w:id="19"/>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406"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trHeight w:val="405"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è ammesso a concordato con continuità aziendale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 Sì [ ] No</w:t>
              <w:br w:type="textWrapping"/>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br w:type="textWrapping"/>
              <w:t xml:space="preserve">[ ] Sì [ ] No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 Sì [ ] No </w:t>
            </w: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1"/>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br w:type="textWrapping"/>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 ] Sì [ ] No</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r>
        <w:trPr>
          <w:trHeight w:val="131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22"/>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c>
      </w:tr>
      <w:tr>
        <w:trPr>
          <w:trHeight w:val="154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trHeight w:val="149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14:paraId="000001A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B3">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4">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10"/>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 tentativo di infiltrazione mafiosa di cui all'</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fermo restando quanto previsto dagli </w:t>
            </w:r>
            <w:hyperlink r:id="rId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w:t>
            </w:r>
          </w:p>
          <w:p w:rsidR="00000000" w:rsidDel="00000000" w:rsidP="00000000" w:rsidRDefault="00000000" w:rsidRPr="00000000" w14:paraId="000001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 ] Sì [ ] No</w:t>
              <w:br w:type="textWrapping"/>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tc>
      </w:tr>
    </w:tbl>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14"/>
          <w:szCs w:val="14"/>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o sezioni da A e D della presente parte) l'operatore economico dichiara che:</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1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i w:val="0"/>
          <w:smallCaps w:val="0"/>
          <w:strike w:val="0"/>
          <w:color w:val="00000a"/>
          <w:sz w:val="15"/>
          <w:szCs w:val="15"/>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della parte IV senza compilare nessun'altra sezione della parte IV:</w:t>
      </w:r>
      <w:r w:rsidDel="00000000" w:rsidR="00000000" w:rsidRPr="00000000">
        <w:rPr>
          <w:rtl w:val="0"/>
        </w:rPr>
      </w:r>
    </w:p>
    <w:tbl>
      <w:tblPr>
        <w:tblStyle w:val="Table11"/>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1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2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trHeight w:val="5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3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(indicazione dell'indice richiesto, come rapporto tra x e y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valore)</w:t>
              <w:br w:type="textWrapping"/>
              <w:t xml:space="preserve">[……], [……]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5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5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durante il periodo di riferimento(</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1"/>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bl>
            <w:tblPr>
              <w:tblStyle w:val="Table15"/>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2"/>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3"/>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       lo stesso prestatore di servizi o imprenditore,</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B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6"/>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compresa l'accessibilità per le persone con disabilità?</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C3">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C4">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dichiara:</w:t>
      </w:r>
      <w:r w:rsidDel="00000000" w:rsidR="00000000" w:rsidRPr="00000000">
        <w:rPr>
          <w:rtl w:val="0"/>
        </w:rPr>
      </w:r>
    </w:p>
    <w:tbl>
      <w:tblPr>
        <w:tblStyle w:val="Table17"/>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CE">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oppure</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15"/>
          <w:szCs w:val="15"/>
          <w:u w:val="none"/>
          <w:shd w:fill="auto" w:val="clear"/>
          <w:vertAlign w:val="superscript"/>
        </w:rPr>
        <w:footnoteReference w:customMarkFollows="0" w:id="39"/>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autorizza/autorizzano formalmente l’ARST S.p.A. ad accedere ai documenti complementari alle informazioni, di cui al presente documento di gara unico europeo, ai fini della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procedura di appalto indicata nella Parte I</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14:paraId="000002D8">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headerReference r:id="rId17" w:type="default"/>
      <w:footerReference r:id="rId18" w:type="default"/>
      <w:pgSz w:h="16839" w:w="11907"/>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Tahoma">
    <w:embedRegular w:fontKey="{00000000-0000-0000-0000-000000000000}" r:id="rId1" w:subsetted="0"/>
    <w:embedBold w:fontKey="{00000000-0000-0000-0000-000000000000}" r:id="rId2" w:subsetted="0"/>
  </w:font>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tabs>
        <w:tab w:val="center" w:pos="4550"/>
        <w:tab w:val="left" w:pos="5818"/>
      </w:tabs>
      <w:spacing w:after="120" w:before="120" w:line="240" w:lineRule="auto"/>
      <w:ind w:left="0" w:right="260" w:firstLine="0"/>
      <w:jc w:val="right"/>
      <w:rPr>
        <w:rFonts w:ascii="Tahoma" w:cs="Tahoma" w:eastAsia="Tahoma" w:hAnsi="Tahoma"/>
        <w:b w:val="0"/>
        <w:i w:val="0"/>
        <w:smallCaps w:val="0"/>
        <w:strike w:val="0"/>
        <w:color w:val="222a35"/>
        <w:sz w:val="16"/>
        <w:szCs w:val="16"/>
        <w:u w:val="none"/>
        <w:shd w:fill="auto" w:val="clear"/>
        <w:vertAlign w:val="baseline"/>
      </w:rPr>
    </w:pPr>
    <w:r w:rsidDel="00000000" w:rsidR="00000000" w:rsidRPr="00000000">
      <w:rPr>
        <w:rFonts w:ascii="Tahoma" w:cs="Tahoma" w:eastAsia="Tahoma" w:hAnsi="Tahoma"/>
        <w:b w:val="1"/>
        <w:i w:val="0"/>
        <w:smallCaps w:val="0"/>
        <w:strike w:val="0"/>
        <w:color w:val="323e4f"/>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1"/>
        <w:i w:val="0"/>
        <w:smallCaps w:val="0"/>
        <w:strike w:val="0"/>
        <w:color w:val="323e4f"/>
        <w:sz w:val="16"/>
        <w:szCs w:val="16"/>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323e4f"/>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1">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Cfr. punti II.1.1. e II.1.3. dell'avviso o bando pertinente.</w:t>
      </w:r>
      <w:r w:rsidDel="00000000" w:rsidR="00000000" w:rsidRPr="00000000">
        <w:rPr>
          <w:rtl w:val="0"/>
        </w:rPr>
      </w:r>
    </w:p>
  </w:footnote>
  <w:footnote w:id="2">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punto II.1.1. dell'avviso o bando pertinente.</w:t>
      </w:r>
      <w:r w:rsidDel="00000000" w:rsidR="00000000" w:rsidRPr="00000000">
        <w:rPr>
          <w:rtl w:val="0"/>
        </w:rPr>
      </w:r>
    </w:p>
  </w:footnote>
  <w:footnote w:id="3">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le informazioni per ogni persona di contatto tante volte quanto necessario.</w:t>
      </w:r>
      <w:r w:rsidDel="00000000" w:rsidR="00000000" w:rsidRPr="00000000">
        <w:rPr>
          <w:rtl w:val="0"/>
        </w:rPr>
      </w:r>
    </w:p>
  </w:footnote>
  <w:footnote w:id="4">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w:t>
      </w:r>
      <w:r w:rsidDel="00000000" w:rsidR="00000000" w:rsidRPr="00000000">
        <w:rPr>
          <w:rFonts w:ascii="Arial" w:cs="Arial" w:eastAsia="Arial" w:hAnsi="Arial"/>
          <w:b w:val="1"/>
          <w:i w:val="1"/>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5">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il punto III.1.5 del bando di gara.</w:t>
      </w:r>
      <w:r w:rsidDel="00000000" w:rsidR="00000000" w:rsidRPr="00000000">
        <w:rPr>
          <w:rtl w:val="0"/>
        </w:rPr>
      </w:r>
    </w:p>
  </w:footnote>
  <w:footnote w:id="6">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7">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 riferimenti e l'eventuale classificazione sono indicati nella certificazione.</w:t>
      </w:r>
      <w:r w:rsidDel="00000000" w:rsidR="00000000" w:rsidRPr="00000000">
        <w:rPr>
          <w:rtl w:val="0"/>
        </w:rPr>
      </w:r>
    </w:p>
  </w:footnote>
  <w:footnote w:id="8">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Specificamente</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9">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0">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1">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2">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3">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4">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5">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p>
  </w:footnote>
  <w:footnote w:id="16">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7">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18">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19">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0">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1">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2">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3">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4">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5">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6">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7">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28">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29">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0">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richiedere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ammettere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più</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di cinque anni prima.</w:t>
      </w:r>
      <w:r w:rsidDel="00000000" w:rsidR="00000000" w:rsidRPr="00000000">
        <w:rPr>
          <w:rtl w:val="0"/>
        </w:rPr>
      </w:r>
    </w:p>
  </w:footnote>
  <w:footnote w:id="31">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altri termini, occorre indicare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tutti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2">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3">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4">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Si noti che se l'operatore economico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ha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5">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Indicare chiaramente la voce cui si riferisce la risposta.</w:t>
      </w:r>
      <w:r w:rsidDel="00000000" w:rsidR="00000000" w:rsidRPr="00000000">
        <w:rPr>
          <w:rtl w:val="0"/>
        </w:rPr>
      </w:r>
    </w:p>
  </w:footnote>
  <w:footnote w:id="36">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7">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8">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39">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tl w:val="0"/>
      </w:rPr>
    </w:r>
  </w:p>
  <w:tbl>
    <w:tblPr>
      <w:tblStyle w:val="Table18"/>
      <w:tblW w:w="9322.0" w:type="dxa"/>
      <w:jc w:val="left"/>
      <w:tblInd w:w="0.0" w:type="dxa"/>
      <w:tblLayout w:type="fixed"/>
      <w:tblLook w:val="0000"/>
    </w:tblPr>
    <w:tblGrid>
      <w:gridCol w:w="4889"/>
      <w:gridCol w:w="4433"/>
      <w:tblGridChange w:id="0">
        <w:tblGrid>
          <w:gridCol w:w="4889"/>
          <w:gridCol w:w="4433"/>
        </w:tblGrid>
      </w:tblGridChange>
    </w:tblGrid>
    <w:tr>
      <w:trPr>
        <w:trHeight w:val="1350" w:hRule="atLeast"/>
      </w:trPr>
      <w:tc>
        <w:tcP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hanging="2"/>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w:drawing>
              <wp:inline distB="0" distT="0" distL="114300" distR="114300">
                <wp:extent cx="1252855" cy="5664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855" cy="5664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307">
          <w:pPr>
            <w:tabs>
              <w:tab w:val="left" w:pos="567"/>
            </w:tabs>
            <w:ind w:left="283.4645669291342" w:firstLine="0"/>
            <w:jc w:val="center"/>
            <w:rPr>
              <w:rFonts w:ascii="Tahoma" w:cs="Tahoma" w:eastAsia="Tahoma" w:hAnsi="Tahoma"/>
              <w:sz w:val="14"/>
              <w:szCs w:val="14"/>
            </w:rPr>
          </w:pPr>
          <w:r w:rsidDel="00000000" w:rsidR="00000000" w:rsidRPr="00000000">
            <w:rPr>
              <w:rFonts w:ascii="Tahoma" w:cs="Tahoma" w:eastAsia="Tahoma" w:hAnsi="Tahoma"/>
              <w:sz w:val="14"/>
              <w:szCs w:val="14"/>
              <w:rtl w:val="0"/>
            </w:rPr>
            <w:t xml:space="preserve">Realizzazione canalizzazioni a servizio degli impianti di segnalamento, sicurezza e telecomunicazioni della linea ferroviaria TPL Sassari-Alghero</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3.4645669291342" w:right="0" w:firstLine="0"/>
            <w:jc w:val="center"/>
            <w:rPr>
              <w:rFonts w:ascii="Tahoma" w:cs="Tahoma" w:eastAsia="Tahoma" w:hAnsi="Tahoma"/>
              <w:b w:val="0"/>
              <w:i w:val="0"/>
              <w:smallCaps w:val="0"/>
              <w:strike w:val="0"/>
              <w:color w:val="00000a"/>
              <w:sz w:val="16"/>
              <w:szCs w:val="16"/>
              <w:u w:val="none"/>
              <w:shd w:fill="auto" w:val="clear"/>
              <w:vertAlign w:val="baseline"/>
            </w:rPr>
          </w:pPr>
          <w:r w:rsidDel="00000000" w:rsidR="00000000" w:rsidRPr="00000000">
            <w:rPr>
              <w:rFonts w:ascii="Tahoma" w:cs="Tahoma" w:eastAsia="Tahoma" w:hAnsi="Tahoma"/>
              <w:b w:val="1"/>
              <w:i w:val="0"/>
              <w:smallCaps w:val="0"/>
              <w:strike w:val="0"/>
              <w:color w:val="00000a"/>
              <w:sz w:val="16"/>
              <w:szCs w:val="16"/>
              <w:u w:val="none"/>
              <w:shd w:fill="auto" w:val="clear"/>
              <w:vertAlign w:val="baseline"/>
              <w:rtl w:val="0"/>
            </w:rPr>
            <w:t xml:space="preserve">D.G.U.E.</w:t>
          </w: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3.4645669291342" w:right="0" w:firstLine="0"/>
            <w:jc w:val="center"/>
            <w:rPr>
              <w:rFonts w:ascii="Tahoma" w:cs="Tahoma" w:eastAsia="Tahoma" w:hAnsi="Tahoma"/>
              <w:b w:val="0"/>
              <w:i w:val="0"/>
              <w:smallCaps w:val="0"/>
              <w:strike w:val="0"/>
              <w:color w:val="00000a"/>
              <w:sz w:val="16"/>
              <w:szCs w:val="16"/>
              <w:u w:val="none"/>
              <w:shd w:fill="auto" w:val="clear"/>
              <w:vertAlign w:val="baseline"/>
            </w:rPr>
          </w:pPr>
          <w:r w:rsidDel="00000000" w:rsidR="00000000" w:rsidRPr="00000000">
            <w:rPr>
              <w:rFonts w:ascii="Tahoma" w:cs="Tahoma" w:eastAsia="Tahoma" w:hAnsi="Tahoma"/>
              <w:b w:val="1"/>
              <w:i w:val="0"/>
              <w:smallCaps w:val="0"/>
              <w:strike w:val="0"/>
              <w:color w:val="00000a"/>
              <w:sz w:val="16"/>
              <w:szCs w:val="16"/>
              <w:u w:val="none"/>
              <w:shd w:fill="auto" w:val="clear"/>
              <w:vertAlign w:val="baseline"/>
              <w:rtl w:val="0"/>
            </w:rPr>
            <w:t xml:space="preserve">Allegato B alla Lettera di invito</w:t>
          </w: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1" w:right="0" w:hanging="1"/>
            <w:jc w:val="center"/>
            <w:rPr>
              <w:rFonts w:ascii="Tahoma" w:cs="Tahoma" w:eastAsia="Tahoma" w:hAnsi="Tahoma"/>
              <w:b w:val="0"/>
              <w:i w:val="0"/>
              <w:smallCaps w:val="0"/>
              <w:strike w:val="0"/>
              <w:color w:val="00000a"/>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a"/>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17" w:hanging="567.0000000000001"/>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88.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 w:type="table" w:styleId="Table17">
    <w:basedOn w:val="TableNormal"/>
    <w:tblPr>
      <w:tblStyleRowBandSize w:val="1"/>
      <w:tblStyleColBandSize w:val="1"/>
      <w:tblCellMar>
        <w:top w:w="0.0" w:type="dxa"/>
        <w:left w:w="93.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header" Target="head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