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30C95B81"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3A86CF49" w14:textId="77777777" w:rsidR="00E77800" w:rsidRPr="00E77800" w:rsidRDefault="00E77800" w:rsidP="00E77800">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E77800">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60CAE574" w14:textId="77777777" w:rsidR="00E77800" w:rsidRPr="00E77800" w:rsidRDefault="00E77800" w:rsidP="00E77800">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E77800">
        <w:rPr>
          <w:rFonts w:ascii="Arial" w:eastAsia="Arial" w:hAnsi="Arial" w:cs="Arial"/>
          <w:b/>
          <w:color w:val="00000A"/>
          <w:sz w:val="15"/>
          <w:szCs w:val="15"/>
        </w:rPr>
        <w:t>Procedura negoziata sotto soglia, ai sensi dell’art. 1 comma 2 lett. b) della Legge n° 120/2020, per l’affidamento dei lavori occorrenti per la stabilizzazione di alcuni  costoni rocciosi, sulle seguenti linee ferroviarie turistiche:</w:t>
      </w:r>
    </w:p>
    <w:p w14:paraId="62002E7B" w14:textId="77777777" w:rsidR="00534F49" w:rsidRPr="00534F49"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534F49">
        <w:rPr>
          <w:rFonts w:ascii="Arial" w:eastAsia="Arial" w:hAnsi="Arial" w:cs="Arial"/>
          <w:b/>
          <w:color w:val="00000A"/>
          <w:sz w:val="15"/>
          <w:szCs w:val="15"/>
        </w:rPr>
        <w:t>Lotto 1: Mandas-Arbatax (TC_TRA_003) CUP F67F18000080001 - CIG 9554727A25</w:t>
      </w:r>
    </w:p>
    <w:p w14:paraId="3C04026B" w14:textId="77777777" w:rsidR="00534F49" w:rsidRPr="00534F49"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534F49">
        <w:rPr>
          <w:rFonts w:ascii="Arial" w:eastAsia="Arial" w:hAnsi="Arial" w:cs="Arial"/>
          <w:b/>
          <w:color w:val="00000A"/>
          <w:sz w:val="15"/>
          <w:szCs w:val="15"/>
        </w:rPr>
        <w:t>Lotto 2: Mandas-Arbatax (TC_TRA_004) CUP F67F18000090001 - CIG 95547648AE</w:t>
      </w:r>
    </w:p>
    <w:p w14:paraId="00DDA5A1" w14:textId="77777777" w:rsidR="00534F49" w:rsidRPr="00534F49"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534F49">
        <w:rPr>
          <w:rFonts w:ascii="Arial" w:eastAsia="Arial" w:hAnsi="Arial" w:cs="Arial"/>
          <w:b/>
          <w:color w:val="00000A"/>
          <w:sz w:val="15"/>
          <w:szCs w:val="15"/>
        </w:rPr>
        <w:t>Lotto 3: Macomer-Bosa  (TC_TRA_005) CUP F67F18000100001 - CIG 9554792FC7</w:t>
      </w:r>
    </w:p>
    <w:p w14:paraId="5227D466" w14:textId="77777777" w:rsidR="00534F49" w:rsidRPr="00534F49"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534F49">
        <w:rPr>
          <w:rFonts w:ascii="Arial" w:eastAsia="Arial" w:hAnsi="Arial" w:cs="Arial"/>
          <w:b/>
          <w:color w:val="00000A"/>
          <w:sz w:val="15"/>
          <w:szCs w:val="15"/>
        </w:rPr>
        <w:t>Lotto 4: Luras-Palau (TC_TRA_007) CUP F97F18000040001 - CIG 955481853F</w:t>
      </w:r>
    </w:p>
    <w:p w14:paraId="25A3AAB5" w14:textId="0EE6E395" w:rsidR="002756A7"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534F49">
        <w:rPr>
          <w:rFonts w:ascii="Arial" w:eastAsia="Arial" w:hAnsi="Arial" w:cs="Arial"/>
          <w:b/>
          <w:color w:val="00000A"/>
          <w:sz w:val="15"/>
          <w:szCs w:val="15"/>
        </w:rPr>
        <w:t>Gara n° 156/2022 - rfq_404734</w:t>
      </w:r>
    </w:p>
    <w:p w14:paraId="4AB5813A" w14:textId="77777777" w:rsidR="00534F49" w:rsidRDefault="00534F49" w:rsidP="00534F49">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360AC74" w14:textId="77777777" w:rsidR="00E77800" w:rsidRPr="00E77800" w:rsidRDefault="00E77800" w:rsidP="00E77800">
            <w:pPr>
              <w:pStyle w:val="NormaleWeb"/>
              <w:spacing w:before="60" w:beforeAutospacing="0" w:after="0" w:afterAutospacing="0"/>
              <w:ind w:right="112"/>
              <w:jc w:val="both"/>
              <w:rPr>
                <w:rFonts w:ascii="Arial" w:eastAsia="Arial" w:hAnsi="Arial" w:cs="Arial"/>
                <w:color w:val="00000A"/>
                <w:sz w:val="15"/>
                <w:szCs w:val="15"/>
              </w:rPr>
            </w:pPr>
            <w:r w:rsidRPr="00E77800">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541D6BBD" w14:textId="4245D3D3" w:rsidR="00E77800" w:rsidRDefault="00E77800" w:rsidP="00E77800">
            <w:pPr>
              <w:pStyle w:val="NormaleWeb"/>
              <w:spacing w:before="60" w:beforeAutospacing="0" w:after="0" w:afterAutospacing="0"/>
              <w:ind w:right="112"/>
              <w:jc w:val="both"/>
              <w:rPr>
                <w:rFonts w:ascii="Arial" w:eastAsia="Arial" w:hAnsi="Arial" w:cs="Arial"/>
                <w:color w:val="00000A"/>
                <w:sz w:val="15"/>
                <w:szCs w:val="15"/>
              </w:rPr>
            </w:pPr>
            <w:r w:rsidRPr="00E77800">
              <w:rPr>
                <w:rFonts w:ascii="Arial" w:eastAsia="Arial" w:hAnsi="Arial" w:cs="Arial"/>
                <w:color w:val="00000A"/>
                <w:sz w:val="15"/>
                <w:szCs w:val="15"/>
              </w:rPr>
              <w:t xml:space="preserve">Procedura negoziata sotto soglia, ai sensi dell’art. 1 comma 2 lett. b) della Legge n° 120/2020, </w:t>
            </w:r>
            <w:r>
              <w:rPr>
                <w:rFonts w:ascii="Arial" w:eastAsia="Arial" w:hAnsi="Arial" w:cs="Arial"/>
                <w:color w:val="00000A"/>
                <w:sz w:val="15"/>
                <w:szCs w:val="15"/>
              </w:rPr>
              <w:t>suddivisa in quattro lotti, per l’affidamento dei lavori occorrenti per la stabilizzazione dei costoni rocciosi, sulle seguenti linee ferroviarie turistiche: Mandas-Arbatax, Macomer-Bosa e Luras-Palau.</w:t>
            </w:r>
          </w:p>
          <w:p w14:paraId="3BCFC153" w14:textId="72460ADF" w:rsidR="00C44F95" w:rsidRDefault="00C44F95" w:rsidP="00E77800">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E1F14BF" w14:textId="77777777" w:rsidR="00E77800" w:rsidRPr="00E77800" w:rsidRDefault="006A4153" w:rsidP="00E77800">
            <w:pPr>
              <w:pStyle w:val="NormaleWeb"/>
              <w:spacing w:before="60" w:beforeAutospacing="0" w:after="0" w:afterAutospacing="0"/>
              <w:ind w:right="984"/>
              <w:jc w:val="both"/>
              <w:rPr>
                <w:rFonts w:ascii="Arial" w:hAnsi="Arial" w:cs="Arial"/>
                <w:sz w:val="15"/>
                <w:szCs w:val="15"/>
              </w:rPr>
            </w:pPr>
            <w:r>
              <w:rPr>
                <w:rFonts w:ascii="Arial" w:eastAsia="Arial" w:hAnsi="Arial" w:cs="Arial"/>
                <w:color w:val="00000A"/>
                <w:sz w:val="15"/>
                <w:szCs w:val="15"/>
              </w:rPr>
              <w:br/>
            </w:r>
            <w:r w:rsidR="00E77800" w:rsidRPr="00E77800">
              <w:rPr>
                <w:rFonts w:ascii="Arial" w:hAnsi="Arial" w:cs="Arial"/>
                <w:color w:val="000000"/>
                <w:sz w:val="15"/>
                <w:szCs w:val="15"/>
              </w:rPr>
              <w:t>Gara n°156/2022 - rfq_</w:t>
            </w:r>
            <w:r w:rsidR="00E77800" w:rsidRPr="00E77800">
              <w:rPr>
                <w:rFonts w:ascii="Arial" w:hAnsi="Arial" w:cs="Arial"/>
                <w:color w:val="000000"/>
                <w:sz w:val="15"/>
                <w:szCs w:val="15"/>
                <w:shd w:val="clear" w:color="auto" w:fill="FFFFFF"/>
              </w:rPr>
              <w:t>404734</w:t>
            </w:r>
          </w:p>
          <w:p w14:paraId="70339593" w14:textId="596B8C12" w:rsidR="00CC1AEB" w:rsidRPr="000C638D" w:rsidRDefault="00CC1AEB" w:rsidP="006A4153">
            <w:pPr>
              <w:pStyle w:val="NormaleWeb"/>
              <w:spacing w:before="6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rsidP="006A4153">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rsidP="006A4153">
            <w:pPr>
              <w:pBdr>
                <w:top w:val="nil"/>
                <w:left w:val="nil"/>
                <w:bottom w:val="nil"/>
                <w:right w:val="nil"/>
                <w:between w:val="nil"/>
              </w:pBdr>
              <w:rPr>
                <w:rFonts w:ascii="Arial" w:eastAsia="Arial" w:hAnsi="Arial" w:cs="Arial"/>
                <w:sz w:val="14"/>
                <w:szCs w:val="14"/>
              </w:rPr>
            </w:pPr>
          </w:p>
          <w:p w14:paraId="20B7B26F" w14:textId="77777777" w:rsidR="00CC1AEB" w:rsidRDefault="00040F51" w:rsidP="006A415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5B9A918E" w:rsidR="00CC1AEB" w:rsidRDefault="006A4153" w:rsidP="006A4153">
            <w:pPr>
              <w:pBdr>
                <w:top w:val="nil"/>
                <w:left w:val="nil"/>
                <w:bottom w:val="nil"/>
                <w:right w:val="nil"/>
                <w:between w:val="nil"/>
              </w:pBdr>
              <w:rPr>
                <w:color w:val="000000"/>
                <w:sz w:val="24"/>
                <w:szCs w:val="24"/>
              </w:rPr>
            </w:pPr>
            <w:r>
              <w:rPr>
                <w:rFonts w:ascii="Arial" w:eastAsia="Arial" w:hAnsi="Arial" w:cs="Arial"/>
                <w:color w:val="000000"/>
                <w:sz w:val="14"/>
                <w:szCs w:val="14"/>
              </w:rPr>
              <w:br/>
            </w:r>
            <w:r w:rsidR="00040F51">
              <w:rPr>
                <w:rFonts w:ascii="Arial" w:eastAsia="Arial" w:hAnsi="Arial" w:cs="Arial"/>
                <w:color w:val="000000"/>
                <w:sz w:val="14"/>
                <w:szCs w:val="14"/>
              </w:rPr>
              <w:t xml:space="preserve">Codice progetto </w:t>
            </w:r>
            <w:r w:rsidR="00040F51">
              <w:rPr>
                <w:rFonts w:ascii="Arial" w:eastAsia="Arial" w:hAnsi="Arial" w:cs="Arial"/>
                <w:color w:val="000000"/>
                <w:sz w:val="12"/>
                <w:szCs w:val="12"/>
              </w:rPr>
              <w:t>(ove l’appalto sia finanziato o cofinanziato con fondi europei)</w:t>
            </w:r>
            <w:r w:rsidR="00040F51">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1946883" w14:textId="4CEAFBDB" w:rsidR="00534F49" w:rsidRPr="00534F49" w:rsidRDefault="00534F49" w:rsidP="00534F49">
            <w:pPr>
              <w:pStyle w:val="NormaleWeb"/>
              <w:spacing w:before="60" w:beforeAutospacing="0" w:after="0" w:afterAutospacing="0"/>
              <w:ind w:right="112"/>
              <w:jc w:val="both"/>
              <w:rPr>
                <w:rFonts w:ascii="Arial" w:eastAsia="Arial" w:hAnsi="Arial" w:cs="Arial"/>
                <w:color w:val="00000A"/>
                <w:sz w:val="15"/>
                <w:szCs w:val="15"/>
              </w:rPr>
            </w:pPr>
            <w:r w:rsidRPr="00534F49">
              <w:rPr>
                <w:rFonts w:ascii="Arial" w:eastAsia="Arial" w:hAnsi="Arial" w:cs="Arial"/>
                <w:color w:val="00000A"/>
                <w:sz w:val="15"/>
                <w:szCs w:val="15"/>
              </w:rPr>
              <w:t>Lotto 1: CUP F67F18000080001 - CIG 9554727A25</w:t>
            </w:r>
          </w:p>
          <w:p w14:paraId="457A41EE" w14:textId="6DCCEBDA" w:rsidR="00534F49" w:rsidRPr="00534F49" w:rsidRDefault="00534F49" w:rsidP="00534F49">
            <w:pPr>
              <w:pStyle w:val="NormaleWeb"/>
              <w:spacing w:before="60" w:beforeAutospacing="0" w:after="0" w:afterAutospacing="0"/>
              <w:ind w:right="112"/>
              <w:jc w:val="both"/>
              <w:rPr>
                <w:rFonts w:ascii="Arial" w:eastAsia="Arial" w:hAnsi="Arial" w:cs="Arial"/>
                <w:color w:val="00000A"/>
                <w:sz w:val="15"/>
                <w:szCs w:val="15"/>
              </w:rPr>
            </w:pPr>
            <w:r w:rsidRPr="00534F49">
              <w:rPr>
                <w:rFonts w:ascii="Arial" w:eastAsia="Arial" w:hAnsi="Arial" w:cs="Arial"/>
                <w:color w:val="00000A"/>
                <w:sz w:val="15"/>
                <w:szCs w:val="15"/>
              </w:rPr>
              <w:t>Lotto 2: CUP F67F18000090001 - CIG 95547648AE</w:t>
            </w:r>
          </w:p>
          <w:p w14:paraId="7E402737" w14:textId="69810E97" w:rsidR="00534F49" w:rsidRPr="00534F49" w:rsidRDefault="00534F49" w:rsidP="00534F49">
            <w:pPr>
              <w:pStyle w:val="NormaleWeb"/>
              <w:spacing w:before="60" w:beforeAutospacing="0" w:after="0" w:afterAutospacing="0"/>
              <w:ind w:right="112"/>
              <w:jc w:val="both"/>
              <w:rPr>
                <w:rFonts w:ascii="Arial" w:eastAsia="Arial" w:hAnsi="Arial" w:cs="Arial"/>
                <w:color w:val="00000A"/>
                <w:sz w:val="15"/>
                <w:szCs w:val="15"/>
              </w:rPr>
            </w:pPr>
            <w:r w:rsidRPr="00534F49">
              <w:rPr>
                <w:rFonts w:ascii="Arial" w:eastAsia="Arial" w:hAnsi="Arial" w:cs="Arial"/>
                <w:color w:val="00000A"/>
                <w:sz w:val="15"/>
                <w:szCs w:val="15"/>
              </w:rPr>
              <w:t>Lotto 3: CUP F67F18000100001 - CIG 9554792FC7</w:t>
            </w:r>
          </w:p>
          <w:p w14:paraId="3C6D441C" w14:textId="341842D7" w:rsidR="00CC1AEB" w:rsidRPr="00E77800" w:rsidRDefault="00534F49" w:rsidP="00534F49">
            <w:pPr>
              <w:pStyle w:val="NormaleWeb"/>
              <w:spacing w:before="60" w:beforeAutospacing="0" w:after="0" w:afterAutospacing="0"/>
              <w:ind w:right="112"/>
              <w:jc w:val="both"/>
              <w:rPr>
                <w:rFonts w:ascii="Arial" w:eastAsia="Arial" w:hAnsi="Arial" w:cs="Arial"/>
                <w:color w:val="00000A"/>
                <w:sz w:val="15"/>
                <w:szCs w:val="15"/>
              </w:rPr>
            </w:pPr>
            <w:r w:rsidRPr="00534F49">
              <w:rPr>
                <w:rFonts w:ascii="Arial" w:eastAsia="Arial" w:hAnsi="Arial" w:cs="Arial"/>
                <w:color w:val="00000A"/>
                <w:sz w:val="15"/>
                <w:szCs w:val="15"/>
              </w:rPr>
              <w:t>Lotto 4: CUP F97F18000040001 - CIG 955481853F</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CEDB" w14:textId="77777777" w:rsidR="00B00CC7" w:rsidRDefault="00B00CC7">
      <w:r>
        <w:separator/>
      </w:r>
    </w:p>
  </w:endnote>
  <w:endnote w:type="continuationSeparator" w:id="0">
    <w:p w14:paraId="257BF6C0" w14:textId="77777777" w:rsidR="00B00CC7" w:rsidRDefault="00B0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096D" w14:textId="77777777" w:rsidR="00B00CC7" w:rsidRDefault="00B00CC7">
      <w:r>
        <w:separator/>
      </w:r>
    </w:p>
  </w:footnote>
  <w:footnote w:type="continuationSeparator" w:id="0">
    <w:p w14:paraId="3ADF2300" w14:textId="77777777" w:rsidR="00B00CC7" w:rsidRDefault="00B00CC7">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0531FA61" w14:textId="77777777" w:rsidR="00E77800" w:rsidRDefault="00E77800" w:rsidP="00E77800">
          <w:pPr>
            <w:pStyle w:val="NormaleWeb"/>
            <w:spacing w:before="0" w:beforeAutospacing="0" w:after="0" w:afterAutospacing="0"/>
            <w:ind w:left="1242"/>
            <w:jc w:val="center"/>
          </w:pPr>
          <w:r>
            <w:rPr>
              <w:rFonts w:ascii="Tahoma" w:hAnsi="Tahoma" w:cs="Tahoma"/>
              <w:color w:val="000000"/>
              <w:sz w:val="14"/>
              <w:szCs w:val="14"/>
            </w:rPr>
            <w:t>Affidamento lavori </w:t>
          </w:r>
        </w:p>
        <w:p w14:paraId="695F1036" w14:textId="77777777" w:rsidR="00E77800" w:rsidRDefault="00E77800" w:rsidP="00E77800">
          <w:pPr>
            <w:pStyle w:val="NormaleWeb"/>
            <w:spacing w:before="0" w:beforeAutospacing="0" w:after="0" w:afterAutospacing="0"/>
            <w:ind w:left="1242"/>
            <w:jc w:val="center"/>
          </w:pPr>
          <w:r>
            <w:rPr>
              <w:rFonts w:ascii="Tahoma" w:hAnsi="Tahoma" w:cs="Tahoma"/>
              <w:color w:val="000000"/>
              <w:sz w:val="14"/>
              <w:szCs w:val="14"/>
            </w:rPr>
            <w:t xml:space="preserve">stabilizzazione costoni rocciosi </w:t>
          </w:r>
        </w:p>
        <w:p w14:paraId="1C66DB41" w14:textId="6EB38A22" w:rsidR="00CC1AEB" w:rsidRDefault="00040F51" w:rsidP="00E77800">
          <w:pPr>
            <w:pBdr>
              <w:top w:val="nil"/>
              <w:left w:val="nil"/>
              <w:bottom w:val="nil"/>
              <w:right w:val="nil"/>
              <w:between w:val="nil"/>
            </w:pBdr>
            <w:tabs>
              <w:tab w:val="center" w:pos="4819"/>
              <w:tab w:val="right" w:pos="9638"/>
            </w:tabs>
            <w:ind w:left="1242"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E77800">
          <w:pPr>
            <w:pBdr>
              <w:top w:val="nil"/>
              <w:left w:val="nil"/>
              <w:bottom w:val="nil"/>
              <w:right w:val="nil"/>
              <w:between w:val="nil"/>
            </w:pBdr>
            <w:tabs>
              <w:tab w:val="center" w:pos="4819"/>
              <w:tab w:val="right" w:pos="9638"/>
            </w:tabs>
            <w:ind w:left="1242"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524D6"/>
    <w:rsid w:val="0027460E"/>
    <w:rsid w:val="002756A7"/>
    <w:rsid w:val="002C4D3F"/>
    <w:rsid w:val="002D72FB"/>
    <w:rsid w:val="00301826"/>
    <w:rsid w:val="00364224"/>
    <w:rsid w:val="00534F49"/>
    <w:rsid w:val="00616F75"/>
    <w:rsid w:val="006A4153"/>
    <w:rsid w:val="00704D06"/>
    <w:rsid w:val="00863A33"/>
    <w:rsid w:val="00875A30"/>
    <w:rsid w:val="00895AEA"/>
    <w:rsid w:val="0090533D"/>
    <w:rsid w:val="00A03D46"/>
    <w:rsid w:val="00A65CFB"/>
    <w:rsid w:val="00A93024"/>
    <w:rsid w:val="00AD2D65"/>
    <w:rsid w:val="00AE2D3A"/>
    <w:rsid w:val="00B00CC7"/>
    <w:rsid w:val="00B17502"/>
    <w:rsid w:val="00B92270"/>
    <w:rsid w:val="00C32062"/>
    <w:rsid w:val="00C44F95"/>
    <w:rsid w:val="00C90BA2"/>
    <w:rsid w:val="00CC1AEB"/>
    <w:rsid w:val="00DF3817"/>
    <w:rsid w:val="00E36DAA"/>
    <w:rsid w:val="00E36EF0"/>
    <w:rsid w:val="00E77800"/>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85">
      <w:bodyDiv w:val="1"/>
      <w:marLeft w:val="0"/>
      <w:marRight w:val="0"/>
      <w:marTop w:val="0"/>
      <w:marBottom w:val="0"/>
      <w:divBdr>
        <w:top w:val="none" w:sz="0" w:space="0" w:color="auto"/>
        <w:left w:val="none" w:sz="0" w:space="0" w:color="auto"/>
        <w:bottom w:val="none" w:sz="0" w:space="0" w:color="auto"/>
        <w:right w:val="none" w:sz="0" w:space="0" w:color="auto"/>
      </w:divBdr>
    </w:div>
    <w:div w:id="195509866">
      <w:bodyDiv w:val="1"/>
      <w:marLeft w:val="0"/>
      <w:marRight w:val="0"/>
      <w:marTop w:val="0"/>
      <w:marBottom w:val="0"/>
      <w:divBdr>
        <w:top w:val="none" w:sz="0" w:space="0" w:color="auto"/>
        <w:left w:val="none" w:sz="0" w:space="0" w:color="auto"/>
        <w:bottom w:val="none" w:sz="0" w:space="0" w:color="auto"/>
        <w:right w:val="none" w:sz="0" w:space="0" w:color="auto"/>
      </w:divBdr>
    </w:div>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432408731">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04727331">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28087504">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358966415">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575168294">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79116881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1372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6353</Words>
  <Characters>36217</Characters>
  <Application>Microsoft Office Word</Application>
  <DocSecurity>0</DocSecurity>
  <Lines>301</Lines>
  <Paragraphs>84</Paragraphs>
  <ScaleCrop>false</ScaleCrop>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24</cp:revision>
  <cp:lastPrinted>2022-10-11T09:45:00Z</cp:lastPrinted>
  <dcterms:created xsi:type="dcterms:W3CDTF">2021-03-04T10:33:00Z</dcterms:created>
  <dcterms:modified xsi:type="dcterms:W3CDTF">2022-12-19T10:03:00Z</dcterms:modified>
</cp:coreProperties>
</file>