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819"/>
          <w:tab w:val="right" w:leader="none" w:pos="9638"/>
          <w:tab w:val="center" w:leader="none" w:pos="6946"/>
        </w:tabs>
        <w:ind w:left="7788" w:firstLine="0"/>
        <w:jc w:val="center"/>
        <w:rPr>
          <w:rFonts w:ascii="Verdana" w:cs="Verdana" w:eastAsia="Verdana" w:hAnsi="Verdana"/>
          <w:b w:val="1"/>
          <w:sz w:val="19"/>
          <w:szCs w:val="19"/>
        </w:rPr>
      </w:pPr>
      <w:r w:rsidDel="00000000" w:rsidR="00000000" w:rsidRPr="00000000">
        <w:rPr>
          <w:rFonts w:ascii="Verdana" w:cs="Verdana" w:eastAsia="Verdana" w:hAnsi="Verdana"/>
          <w:b w:val="1"/>
          <w:sz w:val="19"/>
          <w:szCs w:val="19"/>
          <w:rtl w:val="0"/>
        </w:rPr>
        <w:t xml:space="preserve">Allegato H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5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30"/>
        <w:gridCol w:w="5205"/>
        <w:gridCol w:w="2220"/>
        <w:tblGridChange w:id="0">
          <w:tblGrid>
            <w:gridCol w:w="2430"/>
            <w:gridCol w:w="5205"/>
            <w:gridCol w:w="22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tabs>
                <w:tab w:val="center" w:leader="none" w:pos="4819"/>
                <w:tab w:val="right" w:leader="none" w:pos="9638"/>
              </w:tabs>
              <w:ind w:right="360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rPr>
                <w:rFonts w:ascii="Verdana" w:cs="Verdana" w:eastAsia="Verdana" w:hAnsi="Verdan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SCHEMA DI OFFERTA ECONOMICA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spacing w:after="60" w:before="60" w:line="360" w:lineRule="auto"/>
        <w:jc w:val="both"/>
        <w:rPr>
          <w:rFonts w:ascii="Verdana" w:cs="Verdana" w:eastAsia="Verdana" w:hAnsi="Verdana"/>
          <w:b w:val="1"/>
          <w:sz w:val="18"/>
          <w:szCs w:val="18"/>
        </w:rPr>
      </w:pPr>
      <w:bookmarkStart w:colFirst="0" w:colLast="0" w:name="_30j0zll" w:id="0"/>
      <w:bookmarkEnd w:id="0"/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GARA EUROPEA A PROCEDURA APERTA PER L’APPALTO RELATIVO ALL’AFFIDAMENTO DELLA DIREZIONE LAVORI E DEL COORDINAMENTO DELLA SICUREZZA IN FASE DI ESECUZIONE, RELATIVAMENTE AGLI ITINERARI CICLABILI: BARUMINI-TERRALBA-ORISTANO-THARROS-BOSA. OFFERTA ECONOMICAMENTE PIÙ VANTAGGIOSA. EX ART. 71 DEL D.LGS. N. 36/2023.</w:t>
      </w:r>
    </w:p>
    <w:p w:rsidR="00000000" w:rsidDel="00000000" w:rsidP="00000000" w:rsidRDefault="00000000" w:rsidRPr="00000000" w14:paraId="00000008">
      <w:pPr>
        <w:spacing w:after="60" w:before="60" w:line="360" w:lineRule="auto"/>
        <w:jc w:val="both"/>
        <w:rPr>
          <w:rFonts w:ascii="Verdana" w:cs="Verdana" w:eastAsia="Verdana" w:hAnsi="Verdana"/>
          <w:b w:val="1"/>
          <w:sz w:val="18"/>
          <w:szCs w:val="18"/>
        </w:rPr>
      </w:pPr>
      <w:bookmarkStart w:colFirst="0" w:colLast="0" w:name="_oaddxre1mljq" w:id="1"/>
      <w:bookmarkEnd w:id="1"/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GARA N. 84/2024. </w:t>
        <w:tab/>
        <w:tab/>
        <w:t xml:space="preserve">CUP:  F71B22001030001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DECRETO INTERMINISTERIALE 12 GENNAIO 2022, N. 4: RETE CICLABILE REGIONALE. CICLOVIA DELLA SARDEGNA, 2° LOTTO FUNZIONALE: ITINERARIO  BARUMINI-TERRALBA-ORISTANO-THARROS-BOSA  (LUNGO 120 KM): FINANZIAMENTO PARI A EURO  33.000.000,00.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65.0" w:type="dxa"/>
        <w:jc w:val="left"/>
        <w:tblBorders>
          <w:top w:color="000000" w:space="0" w:sz="4" w:val="dotted"/>
          <w:left w:color="000000" w:space="0" w:sz="4" w:val="dotted"/>
          <w:bottom w:color="000000" w:space="0" w:sz="4" w:val="dotted"/>
          <w:right w:color="000000" w:space="0" w:sz="4" w:val="dotted"/>
          <w:insideH w:color="000000" w:space="0" w:sz="4" w:val="dotted"/>
          <w:insideV w:color="000000" w:space="0" w:sz="4" w:val="dotted"/>
        </w:tblBorders>
        <w:tblLayout w:type="fixed"/>
        <w:tblLook w:val="0000"/>
      </w:tblPr>
      <w:tblGrid>
        <w:gridCol w:w="3825"/>
        <w:gridCol w:w="3120"/>
        <w:gridCol w:w="2820"/>
        <w:tblGridChange w:id="0">
          <w:tblGrid>
            <w:gridCol w:w="3825"/>
            <w:gridCol w:w="3120"/>
            <w:gridCol w:w="2820"/>
          </w:tblGrid>
        </w:tblGridChange>
      </w:tblGrid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Il sottoscritto</w:t>
            </w:r>
          </w:p>
        </w:tc>
        <w:tc>
          <w:tcPr>
            <w:gridSpan w:val="2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widowControl w:val="0"/>
              <w:spacing w:line="276" w:lineRule="auto"/>
              <w:ind w:right="488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nato </w:t>
            </w:r>
          </w:p>
        </w:tc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widowControl w:val="0"/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residente in (via, n° civico, c.a.p. e città)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Codice Fiscale</w:t>
              <w:tab/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nella sua qualità di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della Ditta (Ragione Sociale)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Sede Legale (via, n° civico, c.a.p. e città)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Sede operativa (via, n° civico, c.a.p. e città)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Recapiti telefonici</w:t>
            </w:r>
          </w:p>
        </w:tc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Tel</w:t>
            </w:r>
          </w:p>
        </w:tc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widowControl w:val="0"/>
              <w:spacing w:line="276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Fax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Posta elettronica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Posta elettronica certificata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Partita IVA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2F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Codice Fiscale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0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32">
            <w:pPr>
              <w:spacing w:before="120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Forma giuridica</w:t>
            </w:r>
          </w:p>
        </w:tc>
        <w:tc>
          <w:tcPr>
            <w:gridSpan w:val="2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br w:type="textWrapping"/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Verdana" w:cs="Verdana" w:eastAsia="Verdana" w:hAnsi="Verdana"/>
          <w:color w:val="000000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18"/>
          <w:szCs w:val="18"/>
          <w:rtl w:val="0"/>
        </w:rPr>
        <w:t xml:space="preserve">Formula la seguente offerta economica</w:t>
      </w:r>
      <w:r w:rsidDel="00000000" w:rsidR="00000000" w:rsidRPr="00000000">
        <w:rPr>
          <w:rFonts w:ascii="Verdana" w:cs="Verdana" w:eastAsia="Verdana" w:hAnsi="Verdana"/>
          <w:color w:val="000000"/>
          <w:sz w:val="18"/>
          <w:szCs w:val="18"/>
          <w:rtl w:val="0"/>
        </w:rPr>
        <w:t xml:space="preserve">, alle condizioni richiamate 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nella documentazione di gara: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6570.0" w:type="dxa"/>
        <w:jc w:val="left"/>
        <w:tblLayout w:type="fixed"/>
        <w:tblLook w:val="0000"/>
      </w:tblPr>
      <w:tblGrid>
        <w:gridCol w:w="3975"/>
        <w:gridCol w:w="2265"/>
        <w:gridCol w:w="330"/>
        <w:tblGridChange w:id="0">
          <w:tblGrid>
            <w:gridCol w:w="3975"/>
            <w:gridCol w:w="2265"/>
            <w:gridCol w:w="33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jc w:val="center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Ribasso percentuale offerto </w:t>
            </w:r>
          </w:p>
          <w:p w:rsidR="00000000" w:rsidDel="00000000" w:rsidP="00000000" w:rsidRDefault="00000000" w:rsidRPr="00000000" w14:paraId="00000045">
            <w:pPr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sul prezzo per le sole spese generali di studio  (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euro  71.673,60)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6">
            <w:pPr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spacing w:after="120" w:lineRule="auto"/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120" w:lineRule="auto"/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 ________,____ %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right w:color="ffffff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spacing w:after="120" w:lineRule="auto"/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(indicare un massimo di due cifre decimali)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center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sz w:val="16"/>
                <w:szCs w:val="16"/>
                <w:rtl w:val="0"/>
              </w:rPr>
              <w:t xml:space="preserve">cifre</w:t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widowControl w:val="0"/>
        <w:jc w:val="right"/>
        <w:rPr>
          <w:rFonts w:ascii="Verdana" w:cs="Verdana" w:eastAsia="Verdana" w:hAnsi="Verdana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i w:val="1"/>
          <w:sz w:val="16"/>
          <w:szCs w:val="16"/>
          <w:rtl w:val="0"/>
        </w:rPr>
        <w:t xml:space="preserve">N.B. Non sono ammesse offerte in aumento rispetto all’importo posto a base di gara;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line="276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center"/>
        <w:rPr>
          <w:rFonts w:ascii="Verdana" w:cs="Verdana" w:eastAsia="Verdana" w:hAnsi="Verdana"/>
          <w:color w:val="000000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^ ^ ^ ^ ^</w:t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0" w:lineRule="auto"/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0" w:lineRule="auto"/>
        <w:jc w:val="both"/>
        <w:rPr>
          <w:rFonts w:ascii="Verdana" w:cs="Verdana" w:eastAsia="Verdana" w:hAnsi="Verdan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0" w:lineRule="auto"/>
        <w:jc w:val="both"/>
        <w:rPr>
          <w:rFonts w:ascii="Verdana" w:cs="Verdana" w:eastAsia="Verdana" w:hAnsi="Verdana"/>
          <w:color w:val="000000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color w:val="000000"/>
          <w:sz w:val="18"/>
          <w:szCs w:val="18"/>
          <w:rtl w:val="0"/>
        </w:rPr>
        <w:t xml:space="preserve">La presente offerta ha validità per un periodo di 180 (centottanta) giorni a decorrere dalla data di scadenza della presentazione della stessa ed è immediatamente impegnativa per questo concorrente.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80" w:lineRule="auto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79.0" w:type="dxa"/>
        <w:jc w:val="left"/>
        <w:tblInd w:w="-70.0" w:type="dxa"/>
        <w:tblLayout w:type="fixed"/>
        <w:tblLook w:val="0000"/>
      </w:tblPr>
      <w:tblGrid>
        <w:gridCol w:w="4889"/>
        <w:gridCol w:w="4890"/>
        <w:tblGridChange w:id="0">
          <w:tblGrid>
            <w:gridCol w:w="4889"/>
            <w:gridCol w:w="4890"/>
          </w:tblGrid>
        </w:tblGridChange>
      </w:tblGrid>
      <w:tr>
        <w:trPr>
          <w:cantSplit w:val="0"/>
          <w:trHeight w:val="297.3730468749999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Verdana" w:cs="Verdana" w:eastAsia="Verdana" w:hAnsi="Verdana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18"/>
                <w:szCs w:val="18"/>
                <w:rtl w:val="0"/>
              </w:rPr>
              <w:t xml:space="preserve">data .............................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60" w:lineRule="auto"/>
              <w:jc w:val="center"/>
              <w:rPr>
                <w:rFonts w:ascii="Verdana" w:cs="Verdana" w:eastAsia="Verdana" w:hAnsi="Verdana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i w:val="1"/>
                <w:sz w:val="18"/>
                <w:szCs w:val="18"/>
                <w:rtl w:val="0"/>
              </w:rPr>
              <w:t xml:space="preserve">sottoscritto digitalmente</w:t>
            </w: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7" w:orient="portrait"/>
      <w:pgMar w:bottom="566" w:top="566" w:left="1020" w:right="1020" w:header="453" w:footer="453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Georgia"/>
  <w:font w:name="Verdana"/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6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6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center"/>
      <w:rPr>
        <w:rFonts w:ascii="Tahoma" w:cs="Tahoma" w:eastAsia="Tahoma" w:hAnsi="Tahoma"/>
        <w:color w:val="000000"/>
        <w:sz w:val="16"/>
        <w:szCs w:val="16"/>
      </w:rPr>
    </w:pPr>
    <w:r w:rsidDel="00000000" w:rsidR="00000000" w:rsidRPr="00000000">
      <w:rPr>
        <w:rFonts w:ascii="Tahoma" w:cs="Tahoma" w:eastAsia="Tahoma" w:hAnsi="Tahoma"/>
        <w:color w:val="000000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color w:val="000000"/>
        <w:sz w:val="16"/>
        <w:szCs w:val="16"/>
        <w:rtl w:val="0"/>
      </w:rPr>
      <w:t xml:space="preserve">/</w:t>
    </w:r>
    <w:r w:rsidDel="00000000" w:rsidR="00000000" w:rsidRPr="00000000">
      <w:rPr>
        <w:rFonts w:ascii="Tahoma" w:cs="Tahoma" w:eastAsia="Tahoma" w:hAnsi="Tahoma"/>
        <w:color w:val="000000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6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otnote w:id="0">
    <w:p w:rsidR="00000000" w:rsidDel="00000000" w:rsidP="00000000" w:rsidRDefault="00000000" w:rsidRPr="00000000" w14:paraId="00000059">
      <w:pPr>
        <w:spacing w:before="60" w:lineRule="auto"/>
        <w:jc w:val="both"/>
        <w:rPr>
          <w:rFonts w:ascii="Tahoma" w:cs="Tahoma" w:eastAsia="Tahoma" w:hAnsi="Tahoma"/>
          <w:sz w:val="14"/>
          <w:szCs w:val="14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ahoma" w:cs="Tahoma" w:eastAsia="Tahoma" w:hAnsi="Tahoma"/>
          <w:sz w:val="14"/>
          <w:szCs w:val="14"/>
          <w:rtl w:val="0"/>
        </w:rPr>
        <w:t xml:space="preserve">  La modalità di sottoscrizione dell’offerta economica è disciplinata dal punto 13 del Disciplinare di gara.</w:t>
      </w:r>
    </w:p>
    <w:p w:rsidR="00000000" w:rsidDel="00000000" w:rsidP="00000000" w:rsidRDefault="00000000" w:rsidRPr="00000000" w14:paraId="0000005A">
      <w:pPr>
        <w:spacing w:before="60" w:lineRule="auto"/>
        <w:ind w:left="142" w:firstLine="0"/>
        <w:jc w:val="both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5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right="360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5D">
    <w:pPr>
      <w:tabs>
        <w:tab w:val="center" w:leader="none" w:pos="4819"/>
        <w:tab w:val="right" w:leader="none" w:pos="9638"/>
      </w:tabs>
      <w:spacing w:after="280" w:before="280" w:lineRule="auto"/>
      <w:jc w:val="center"/>
      <w:rPr>
        <w:rFonts w:ascii="Garamond" w:cs="Garamond" w:eastAsia="Garamond" w:hAnsi="Garamond"/>
      </w:rPr>
    </w:pPr>
    <w:r w:rsidDel="00000000" w:rsidR="00000000" w:rsidRPr="00000000">
      <w:rPr>
        <w:rFonts w:ascii="Garamond" w:cs="Garamond" w:eastAsia="Garamond" w:hAnsi="Garamond"/>
      </w:rPr>
      <w:drawing>
        <wp:inline distB="114300" distT="114300" distL="114300" distR="114300">
          <wp:extent cx="3841432" cy="468467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41432" cy="46846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Garamond" w:cs="Garamond" w:eastAsia="Garamond" w:hAnsi="Garamond"/>
      </w:rPr>
      <w:drawing>
        <wp:inline distB="114300" distT="114300" distL="114300" distR="114300">
          <wp:extent cx="659461" cy="601028"/>
          <wp:effectExtent b="0" l="0" r="0" t="0"/>
          <wp:docPr id="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9461" cy="60102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Garamond" w:cs="Garamond" w:eastAsia="Garamond" w:hAnsi="Garamond"/>
      </w:rPr>
      <w:drawing>
        <wp:inline distB="114300" distT="114300" distL="114300" distR="114300">
          <wp:extent cx="1222058" cy="474756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2058" cy="47475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80" w:before="280" w:line="240" w:lineRule="auto"/>
      <w:ind w:left="0" w:right="0" w:firstLine="0"/>
      <w:jc w:val="center"/>
      <w:rPr>
        <w:rFonts w:ascii="Verdana" w:cs="Verdana" w:eastAsia="Verdana" w:hAnsi="Verdana"/>
        <w:sz w:val="19"/>
        <w:szCs w:val="19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60">
    <w:pPr>
      <w:tabs>
        <w:tab w:val="center" w:leader="none" w:pos="4819"/>
        <w:tab w:val="right" w:leader="none" w:pos="9638"/>
      </w:tabs>
      <w:spacing w:after="280" w:before="280" w:lineRule="auto"/>
      <w:jc w:val="center"/>
      <w:rPr>
        <w:rFonts w:ascii="Garamond" w:cs="Garamond" w:eastAsia="Garamond" w:hAnsi="Garamond"/>
      </w:rPr>
    </w:pPr>
    <w:r w:rsidDel="00000000" w:rsidR="00000000" w:rsidRPr="00000000">
      <w:rPr>
        <w:rFonts w:ascii="Garamond" w:cs="Garamond" w:eastAsia="Garamond" w:hAnsi="Garamond"/>
      </w:rPr>
      <w:drawing>
        <wp:inline distB="114300" distT="114300" distL="114300" distR="114300">
          <wp:extent cx="3841432" cy="468467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41432" cy="46846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Garamond" w:cs="Garamond" w:eastAsia="Garamond" w:hAnsi="Garamond"/>
      </w:rPr>
      <w:drawing>
        <wp:inline distB="114300" distT="114300" distL="114300" distR="114300">
          <wp:extent cx="659461" cy="601028"/>
          <wp:effectExtent b="0" l="0" r="0" t="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9461" cy="60102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Garamond" w:cs="Garamond" w:eastAsia="Garamond" w:hAnsi="Garamond"/>
      </w:rPr>
      <w:drawing>
        <wp:inline distB="114300" distT="114300" distL="114300" distR="114300">
          <wp:extent cx="1222058" cy="474756"/>
          <wp:effectExtent b="0" l="0" r="0" t="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2058" cy="47475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80" w:before="280" w:line="240" w:lineRule="auto"/>
      <w:ind w:left="0" w:right="0" w:firstLine="0"/>
      <w:jc w:val="center"/>
      <w:rPr>
        <w:rFonts w:ascii="Verdana" w:cs="Verdana" w:eastAsia="Verdana" w:hAnsi="Verdana"/>
        <w:sz w:val="19"/>
        <w:szCs w:val="19"/>
      </w:rPr>
    </w:pPr>
    <w:bookmarkStart w:colFirst="0" w:colLast="0" w:name="_gjdgxs" w:id="2"/>
    <w:bookmarkEnd w:id="2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tabs>
        <w:tab w:val="center" w:leader="none" w:pos="4819"/>
        <w:tab w:val="right" w:leader="none" w:pos="9638"/>
      </w:tabs>
      <w:spacing w:after="280" w:before="280" w:lineRule="auto"/>
      <w:jc w:val="both"/>
      <w:rPr>
        <w:rFonts w:ascii="Arial" w:cs="Arial" w:eastAsia="Arial" w:hAnsi="Arial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